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37EF" w14:textId="77777777" w:rsidR="00D072B5" w:rsidRDefault="00B2488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6786B7A1" wp14:editId="363F7B9F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4A93C1" w14:textId="77777777" w:rsidR="00D072B5" w:rsidRDefault="00D072B5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03133B58" w14:textId="77777777" w:rsidR="00D072B5" w:rsidRDefault="00B2488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13D8458F" w14:textId="2FFDD9DE" w:rsidR="00D072B5" w:rsidRDefault="00B2488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CC1808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</w:t>
      </w:r>
      <w:r w:rsidR="00CC1808">
        <w:rPr>
          <w:rFonts w:ascii="Arial" w:hAnsi="Arial" w:cs="Arial"/>
          <w:sz w:val="24"/>
        </w:rPr>
        <w:t>března</w:t>
      </w:r>
      <w:r>
        <w:rPr>
          <w:rFonts w:ascii="Arial" w:hAnsi="Arial" w:cs="Arial"/>
          <w:sz w:val="24"/>
        </w:rPr>
        <w:t xml:space="preserve"> 2023</w:t>
      </w:r>
    </w:p>
    <w:p w14:paraId="6AF14754" w14:textId="77777777" w:rsidR="00D072B5" w:rsidRDefault="00D072B5">
      <w:pPr>
        <w:spacing w:before="360" w:after="360"/>
        <w:jc w:val="right"/>
        <w:rPr>
          <w:rFonts w:ascii="Arial" w:hAnsi="Arial" w:cs="Arial"/>
          <w:sz w:val="24"/>
        </w:rPr>
      </w:pPr>
    </w:p>
    <w:p w14:paraId="454A6431" w14:textId="23BBDE00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center"/>
        <w:rPr>
          <w:rFonts w:ascii="Georgia" w:eastAsia="Calibri" w:hAnsi="Georgia" w:cs="Arial"/>
          <w:b/>
          <w:sz w:val="48"/>
          <w:szCs w:val="22"/>
        </w:rPr>
      </w:pPr>
      <w:r>
        <w:rPr>
          <w:rFonts w:ascii="Georgia" w:eastAsia="Calibri" w:hAnsi="Georgia" w:cs="Arial"/>
          <w:b/>
          <w:sz w:val="48"/>
          <w:szCs w:val="22"/>
        </w:rPr>
        <w:t xml:space="preserve">Pojistit je dnes možné i </w:t>
      </w:r>
      <w:r w:rsidR="00F7217C">
        <w:rPr>
          <w:rFonts w:ascii="Georgia" w:eastAsia="Calibri" w:hAnsi="Georgia" w:cs="Arial"/>
          <w:b/>
          <w:sz w:val="48"/>
          <w:szCs w:val="22"/>
        </w:rPr>
        <w:t xml:space="preserve">nemoci </w:t>
      </w:r>
      <w:r>
        <w:rPr>
          <w:rFonts w:ascii="Georgia" w:eastAsia="Calibri" w:hAnsi="Georgia" w:cs="Arial"/>
          <w:b/>
          <w:sz w:val="48"/>
          <w:szCs w:val="22"/>
        </w:rPr>
        <w:t>ledvin nebo komplikace cukrovky</w:t>
      </w:r>
    </w:p>
    <w:p w14:paraId="51F27D3F" w14:textId="79405EF1" w:rsidR="00D072B5" w:rsidRDefault="00D072B5">
      <w:pPr>
        <w:pStyle w:val="Nadpis1"/>
        <w:jc w:val="center"/>
        <w:rPr>
          <w:rFonts w:ascii="Georgia" w:eastAsia="Calibri" w:hAnsi="Georgia" w:cs="Arial"/>
          <w:b/>
          <w:color w:val="auto"/>
          <w:sz w:val="48"/>
          <w:szCs w:val="22"/>
        </w:rPr>
      </w:pPr>
    </w:p>
    <w:p w14:paraId="5EBBC4BC" w14:textId="40874C00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b/>
          <w:bCs/>
          <w:color w:val="000000"/>
        </w:rPr>
      </w:pPr>
      <w:bookmarkStart w:id="0" w:name="_Hlk103662744"/>
      <w:r>
        <w:rPr>
          <w:rFonts w:ascii="Arial" w:hAnsi="Arial" w:cs="Arial"/>
          <w:b/>
          <w:bCs/>
          <w:color w:val="000000"/>
        </w:rPr>
        <w:t>Druhý čtvrtek v březnu je již tradičně věnovaný jednomu z našich životně důležitých orgánů – ledvinám. Světový den ledvin, který letos připadá na 9. března, vyhlásila Mezinárodní federace pro nemoci ledvin společně s Mezinárodní nefrologickou společností. Cílem tohoto dne</w:t>
      </w:r>
      <w:r w:rsidR="00F9063E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a s ním spojené kampaně</w:t>
      </w:r>
      <w:r w:rsidR="00F9063E"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je upozornit na alarmující fakt, že</w:t>
      </w:r>
      <w:r w:rsidR="00972AD3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10 až 15 % světové populace trpí některou z vážných nemocí ledvin. V České republice se s chronickým onemocněním ledvin léčí každý desátý člověk. Málokdo ale ví, že</w:t>
      </w:r>
      <w:r w:rsidR="00972AD3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na</w:t>
      </w:r>
      <w:r w:rsidR="00972AD3"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 xml:space="preserve">nemoci ledvin existuje i pojištění, které sice nepříznivou lékařskou diagnózu nezvrátí, ale pomůže pacientovi alespoň zajistit lepší podmínky při jeho léčbě. </w:t>
      </w:r>
    </w:p>
    <w:p w14:paraId="64773AE2" w14:textId="28CEA579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„Naše pojištění závažných onemocnění zahrnuje 40 diagnóz včetně</w:t>
      </w:r>
      <w:r w:rsidR="00972AD3">
        <w:rPr>
          <w:rFonts w:ascii="Arial" w:hAnsi="Arial" w:cs="Arial"/>
          <w:i/>
          <w:iCs/>
          <w:color w:val="000000"/>
        </w:rPr>
        <w:t xml:space="preserve"> transplantace ledvin či </w:t>
      </w:r>
      <w:r>
        <w:rPr>
          <w:rFonts w:ascii="Arial" w:hAnsi="Arial" w:cs="Arial"/>
          <w:i/>
          <w:iCs/>
          <w:color w:val="000000"/>
        </w:rPr>
        <w:t>term</w:t>
      </w:r>
      <w:r w:rsidR="00F7217C">
        <w:rPr>
          <w:rFonts w:ascii="Arial" w:hAnsi="Arial" w:cs="Arial"/>
          <w:i/>
          <w:iCs/>
          <w:color w:val="000000"/>
        </w:rPr>
        <w:t>in</w:t>
      </w:r>
      <w:r>
        <w:rPr>
          <w:rFonts w:ascii="Arial" w:hAnsi="Arial" w:cs="Arial"/>
          <w:i/>
          <w:iCs/>
          <w:color w:val="000000"/>
        </w:rPr>
        <w:t xml:space="preserve">ální fáze selhávání ledvin, kdy pacient podstupuje trvalou dialýzu. Peníze </w:t>
      </w:r>
      <w:proofErr w:type="gramStart"/>
      <w:r>
        <w:rPr>
          <w:rFonts w:ascii="Arial" w:hAnsi="Arial" w:cs="Arial"/>
          <w:i/>
          <w:iCs/>
          <w:color w:val="000000"/>
        </w:rPr>
        <w:t>obdrží</w:t>
      </w:r>
      <w:proofErr w:type="gramEnd"/>
      <w:r>
        <w:rPr>
          <w:rFonts w:ascii="Arial" w:hAnsi="Arial" w:cs="Arial"/>
          <w:i/>
          <w:iCs/>
          <w:color w:val="000000"/>
        </w:rPr>
        <w:t xml:space="preserve"> pojištěný buď v době, kdy pravidelnou dialýzu zahajuje, nebo kdy se dostává na</w:t>
      </w:r>
      <w:r w:rsidR="00F9063E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čekací listinu pro</w:t>
      </w:r>
      <w:r w:rsidR="00972AD3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transplantaci,“ </w:t>
      </w:r>
      <w:r>
        <w:rPr>
          <w:rFonts w:ascii="Arial" w:hAnsi="Arial" w:cs="Arial"/>
          <w:color w:val="000000"/>
        </w:rPr>
        <w:t>vysvětluje analytička produktového oddělení pojišťovny MetLife Eliška</w:t>
      </w:r>
      <w:r w:rsidR="001E2CE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Nechanická</w:t>
      </w:r>
      <w:r w:rsidR="00972AD3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Březinová.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Ročně se v České republice </w:t>
      </w:r>
      <w:hyperlink r:id="rId9"/>
      <w:r>
        <w:rPr>
          <w:rFonts w:ascii="Arial" w:hAnsi="Arial" w:cs="Arial"/>
          <w:color w:val="000000"/>
        </w:rPr>
        <w:t>provede zhruba 500 transplantací ledvin. Jedna taková transplantace</w:t>
      </w:r>
      <w:r w:rsidR="00B4626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včetně operace, hospitalizace a nového orgánu</w:t>
      </w:r>
      <w:r w:rsidR="00B46267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stojí zdravotní pojišťovnu téměř 530 tisíc korun. Na konci roku 2022 bylo na čekací listině 661 pacientů, kteří se zákroku dočkají průměrně za jeden a půl roku. Dalších 11 000 českých pacientů pravidelně podstupuje hemodialýzu, tu</w:t>
      </w:r>
      <w:r w:rsidR="007C7856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provádí 114 středisek v ČR. Tato střediska za rok provedou celkem více než</w:t>
      </w:r>
      <w:r w:rsidR="00B46267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887</w:t>
      </w:r>
      <w:r w:rsidR="00B46267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tisíc dialýz, přičemž za roční péči o jednoho trvale dialyzovaného pacienta uhradí zdravotní pojišťovna částku převyšující 831 tisíc korun.</w:t>
      </w:r>
    </w:p>
    <w:p w14:paraId="4D1AE118" w14:textId="3F135595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 těmto vážným stavům by </w:t>
      </w:r>
      <w:r w:rsidR="00F7217C">
        <w:rPr>
          <w:rFonts w:ascii="Arial" w:hAnsi="Arial" w:cs="Arial"/>
          <w:color w:val="000000"/>
        </w:rPr>
        <w:t xml:space="preserve">ale </w:t>
      </w:r>
      <w:r>
        <w:rPr>
          <w:rFonts w:ascii="Arial" w:hAnsi="Arial" w:cs="Arial"/>
          <w:color w:val="000000"/>
        </w:rPr>
        <w:t>nemuselo v některých případech vůbec dojít</w:t>
      </w:r>
      <w:r w:rsidR="007C785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="007C7856">
        <w:rPr>
          <w:rFonts w:ascii="Arial" w:hAnsi="Arial" w:cs="Arial"/>
          <w:color w:val="000000"/>
        </w:rPr>
        <w:t>stačilo by, kdyby</w:t>
      </w:r>
      <w:r>
        <w:rPr>
          <w:rFonts w:ascii="Arial" w:hAnsi="Arial" w:cs="Arial"/>
          <w:color w:val="000000"/>
        </w:rPr>
        <w:t xml:space="preserve"> lidé </w:t>
      </w:r>
      <w:r w:rsidR="00F7217C">
        <w:rPr>
          <w:rFonts w:ascii="Arial" w:hAnsi="Arial" w:cs="Arial"/>
          <w:color w:val="000000"/>
        </w:rPr>
        <w:t xml:space="preserve">více </w:t>
      </w:r>
      <w:r>
        <w:rPr>
          <w:rFonts w:ascii="Arial" w:hAnsi="Arial" w:cs="Arial"/>
          <w:color w:val="000000"/>
        </w:rPr>
        <w:t xml:space="preserve">dbali na prevenci a nechali si ledviny vyšetřit, nebo </w:t>
      </w:r>
      <w:r w:rsidR="009564D3">
        <w:rPr>
          <w:rFonts w:ascii="Arial" w:hAnsi="Arial" w:cs="Arial"/>
          <w:color w:val="000000"/>
        </w:rPr>
        <w:t xml:space="preserve">si minimálně nechali </w:t>
      </w:r>
      <w:r>
        <w:rPr>
          <w:rFonts w:ascii="Arial" w:hAnsi="Arial" w:cs="Arial"/>
          <w:color w:val="000000"/>
        </w:rPr>
        <w:t xml:space="preserve">změřit </w:t>
      </w:r>
      <w:r w:rsidR="009564D3">
        <w:rPr>
          <w:rFonts w:ascii="Arial" w:hAnsi="Arial" w:cs="Arial"/>
          <w:color w:val="000000"/>
        </w:rPr>
        <w:t>u</w:t>
      </w:r>
      <w:r w:rsidR="00B46267">
        <w:rPr>
          <w:rFonts w:ascii="Arial" w:hAnsi="Arial" w:cs="Arial"/>
          <w:color w:val="000000"/>
        </w:rPr>
        <w:t> </w:t>
      </w:r>
      <w:r w:rsidR="009564D3">
        <w:rPr>
          <w:rFonts w:ascii="Arial" w:hAnsi="Arial" w:cs="Arial"/>
          <w:color w:val="000000"/>
        </w:rPr>
        <w:t xml:space="preserve">praktického lékaře </w:t>
      </w:r>
      <w:r>
        <w:rPr>
          <w:rFonts w:ascii="Arial" w:hAnsi="Arial" w:cs="Arial"/>
          <w:color w:val="000000"/>
        </w:rPr>
        <w:t>tlak či hladinu cukru v krvi. Nemoci ledvin jdou totiž ruku v ruce s dalšími zdravotními neduhy</w:t>
      </w:r>
      <w:r w:rsidR="00D07962">
        <w:rPr>
          <w:rFonts w:ascii="Arial" w:hAnsi="Arial" w:cs="Arial"/>
          <w:color w:val="000000"/>
        </w:rPr>
        <w:t xml:space="preserve"> –</w:t>
      </w:r>
      <w:r>
        <w:rPr>
          <w:rFonts w:ascii="Arial" w:hAnsi="Arial" w:cs="Arial"/>
          <w:color w:val="000000"/>
        </w:rPr>
        <w:t xml:space="preserve"> například hypertenzí, jinými chorobami srdce a cév nebo diabetem.</w:t>
      </w:r>
    </w:p>
    <w:p w14:paraId="1B3A2C43" w14:textId="7C74FF67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„</w:t>
      </w:r>
      <w:r w:rsidR="00F7217C">
        <w:rPr>
          <w:rFonts w:ascii="Arial" w:hAnsi="Arial" w:cs="Arial"/>
          <w:i/>
          <w:iCs/>
          <w:color w:val="000000"/>
        </w:rPr>
        <w:t>Z</w:t>
      </w:r>
      <w:r>
        <w:rPr>
          <w:rFonts w:ascii="Arial" w:hAnsi="Arial" w:cs="Arial"/>
          <w:i/>
          <w:iCs/>
          <w:color w:val="000000"/>
        </w:rPr>
        <w:t xml:space="preserve"> našich hlášení pojistných událostí vyplývá, že onemocnění ledvin jsou často přidruženou diagnózou dalšího onemocnění, zejména cukrovky. I toto riziko umíme ošetřit připojištěním závažných komplikací cukrovky, mezi které mimo jiných patří diabetická nefropatie. Pokud má </w:t>
      </w:r>
      <w:r w:rsidR="009564D3">
        <w:rPr>
          <w:rFonts w:ascii="Arial" w:hAnsi="Arial" w:cs="Arial"/>
          <w:i/>
          <w:iCs/>
          <w:color w:val="000000"/>
        </w:rPr>
        <w:t xml:space="preserve">pacient </w:t>
      </w:r>
      <w:r>
        <w:rPr>
          <w:rFonts w:ascii="Arial" w:hAnsi="Arial" w:cs="Arial"/>
          <w:i/>
          <w:iCs/>
          <w:color w:val="000000"/>
        </w:rPr>
        <w:t xml:space="preserve">v důsledku cukrovky nezvratné poškození cév v ledvinách nebo trpí úplným selháním ledvin, </w:t>
      </w:r>
      <w:r w:rsidR="009564D3">
        <w:rPr>
          <w:rFonts w:ascii="Arial" w:hAnsi="Arial" w:cs="Arial"/>
          <w:i/>
          <w:iCs/>
          <w:color w:val="000000"/>
        </w:rPr>
        <w:t xml:space="preserve">které </w:t>
      </w:r>
      <w:r>
        <w:rPr>
          <w:rFonts w:ascii="Arial" w:hAnsi="Arial" w:cs="Arial"/>
          <w:i/>
          <w:iCs/>
          <w:color w:val="000000"/>
        </w:rPr>
        <w:t xml:space="preserve">vyžaduje pravidelnou dialýzu, poskytujeme pojistné plnění i z tohoto speciálního </w:t>
      </w:r>
      <w:r>
        <w:rPr>
          <w:rFonts w:ascii="Arial" w:hAnsi="Arial" w:cs="Arial"/>
          <w:i/>
          <w:iCs/>
          <w:color w:val="000000"/>
        </w:rPr>
        <w:lastRenderedPageBreak/>
        <w:t>pojištění</w:t>
      </w:r>
      <w:r w:rsidR="008B1FAE">
        <w:rPr>
          <w:rFonts w:ascii="Arial" w:hAnsi="Arial" w:cs="Arial"/>
          <w:i/>
          <w:iCs/>
          <w:color w:val="000000"/>
        </w:rPr>
        <w:t>. T</w:t>
      </w:r>
      <w:r>
        <w:rPr>
          <w:rFonts w:ascii="Arial" w:hAnsi="Arial" w:cs="Arial"/>
          <w:i/>
          <w:iCs/>
          <w:color w:val="000000"/>
        </w:rPr>
        <w:t>řeba na to, aby měl pokryty své finanční závazky v době pobytu v</w:t>
      </w:r>
      <w:r w:rsidR="009564D3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nemocnici nebo v</w:t>
      </w:r>
      <w:r w:rsidR="007778D5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dlouhodobější pracovní neschopnosti,“</w:t>
      </w:r>
      <w:r>
        <w:rPr>
          <w:rFonts w:ascii="Arial" w:hAnsi="Arial" w:cs="Arial"/>
          <w:color w:val="000000"/>
        </w:rPr>
        <w:t xml:space="preserve"> dodává Eliška Nechanická Březinová.</w:t>
      </w:r>
    </w:p>
    <w:p w14:paraId="21C0D850" w14:textId="180FF081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Světový den ledvin apeluje na populaci, aby nebrala rizika onemocnění tohoto párového orgánu na lehkou váhu. Zákeřné na nemocích ledvin je totiž to, že většinou nebolí, a proto o tom, že</w:t>
      </w:r>
      <w:r w:rsidR="005B6CB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</w:t>
      </w:r>
      <w:r w:rsidR="005B6CB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nimi není něco v pořádku, řada pacientů ani neví</w:t>
      </w:r>
      <w:r w:rsidR="001F3A5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1F3A56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řípadným </w:t>
      </w:r>
      <w:hyperlink r:id="rId10">
        <w:r w:rsidRPr="00972AD3">
          <w:rPr>
            <w:rStyle w:val="Internetovodkaz"/>
            <w:rFonts w:ascii="Arial" w:eastAsiaTheme="majorEastAsia" w:hAnsi="Arial" w:cs="Arial"/>
            <w:color w:val="2E74B5" w:themeColor="accent1" w:themeShade="BF"/>
          </w:rPr>
          <w:t>varovným příznakům</w:t>
        </w:r>
      </w:hyperlink>
      <w:r>
        <w:rPr>
          <w:rFonts w:ascii="Arial" w:hAnsi="Arial" w:cs="Arial"/>
          <w:color w:val="000000"/>
        </w:rPr>
        <w:t xml:space="preserve"> </w:t>
      </w:r>
      <w:r w:rsidR="001F3A56">
        <w:rPr>
          <w:rFonts w:ascii="Arial" w:hAnsi="Arial" w:cs="Arial"/>
          <w:color w:val="000000"/>
        </w:rPr>
        <w:t xml:space="preserve">pak lidé často </w:t>
      </w:r>
      <w:r>
        <w:rPr>
          <w:rFonts w:ascii="Arial" w:hAnsi="Arial" w:cs="Arial"/>
          <w:color w:val="000000"/>
        </w:rPr>
        <w:t>nevěnuj</w:t>
      </w:r>
      <w:r w:rsidR="001F3A56">
        <w:rPr>
          <w:rFonts w:ascii="Arial" w:hAnsi="Arial" w:cs="Arial"/>
          <w:color w:val="000000"/>
        </w:rPr>
        <w:t>í</w:t>
      </w:r>
      <w:r>
        <w:rPr>
          <w:rFonts w:ascii="Arial" w:hAnsi="Arial" w:cs="Arial"/>
          <w:color w:val="000000"/>
        </w:rPr>
        <w:t xml:space="preserve"> dostatečnou pozornost. Jde například o přibírání na hmotnosti v důsledku zadržování tekutin v těle </w:t>
      </w:r>
      <w:r w:rsidR="00D25C22">
        <w:rPr>
          <w:rFonts w:ascii="Arial" w:hAnsi="Arial" w:cs="Arial"/>
          <w:color w:val="000000"/>
        </w:rPr>
        <w:t>či o</w:t>
      </w:r>
      <w:r>
        <w:rPr>
          <w:rFonts w:ascii="Arial" w:hAnsi="Arial" w:cs="Arial"/>
          <w:color w:val="000000"/>
        </w:rPr>
        <w:t xml:space="preserve"> otoky, bolest v bederní krajině, zvláště</w:t>
      </w:r>
      <w:r w:rsidR="009564D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je-li doprovázena teplotou nebo změnou barvy moči, o svalovou slabost, ztrátu chuti k jídlu, svědění těla, svalové křeče, změnu barvy kůže a další. Pro to, aby se zabránilo terminálnímu selhání ledvin včetně dialýzy</w:t>
      </w:r>
      <w:r w:rsidR="00E14B0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a</w:t>
      </w:r>
      <w:r w:rsidR="003661F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postup nemoci se zpomalil, je naprosto zásadní onemocnění včas odhalit, správně diagnostikovat a následně adekvátně léčit. </w:t>
      </w:r>
      <w:hyperlink r:id="rId11">
        <w:r w:rsidRPr="00972AD3">
          <w:rPr>
            <w:rStyle w:val="Internetovodkaz"/>
            <w:rFonts w:ascii="Arial" w:eastAsiaTheme="majorEastAsia" w:hAnsi="Arial" w:cs="Arial"/>
            <w:color w:val="2E74B5" w:themeColor="accent1" w:themeShade="BF"/>
          </w:rPr>
          <w:t>MetLife</w:t>
        </w:r>
      </w:hyperlink>
      <w:r>
        <w:rPr>
          <w:rFonts w:ascii="Arial" w:hAnsi="Arial" w:cs="Arial"/>
          <w:color w:val="000000"/>
        </w:rPr>
        <w:t xml:space="preserve"> pojišťovna navíc ve svém programu </w:t>
      </w:r>
      <w:r w:rsidR="001F55C8">
        <w:rPr>
          <w:rFonts w:ascii="Arial" w:hAnsi="Arial" w:cs="Arial"/>
          <w:color w:val="000000"/>
        </w:rPr>
        <w:t>MetLife Fair</w:t>
      </w:r>
      <w:r w:rsidRPr="00972AD3">
        <w:rPr>
          <w:rFonts w:ascii="Arial" w:hAnsi="Arial" w:cs="Arial"/>
          <w:color w:val="2E74B5" w:themeColor="accent1" w:themeShade="BF"/>
        </w:rPr>
        <w:t xml:space="preserve"> </w:t>
      </w:r>
      <w:r>
        <w:rPr>
          <w:rFonts w:ascii="Arial" w:hAnsi="Arial" w:cs="Arial"/>
          <w:color w:val="000000"/>
        </w:rPr>
        <w:t>odměňuje klienty za prevenci i jejich zodpovědný přístup ke zdraví a poskytuje jim slevu na</w:t>
      </w:r>
      <w:r w:rsidR="003661F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pojistném v</w:t>
      </w:r>
      <w:r w:rsidR="007869D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programech Prevence 5 % a Prevence Plus 10 %. </w:t>
      </w:r>
    </w:p>
    <w:p w14:paraId="178E1355" w14:textId="77777777" w:rsidR="008B1FAE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Ale jak už to někdy bývá, i sebelepší prevence může selhat a nemoc přij</w:t>
      </w:r>
      <w:r w:rsidR="009564D3">
        <w:rPr>
          <w:rFonts w:ascii="Arial" w:hAnsi="Arial" w:cs="Arial"/>
          <w:color w:val="000000"/>
        </w:rPr>
        <w:t>ít</w:t>
      </w:r>
      <w:r>
        <w:rPr>
          <w:rFonts w:ascii="Arial" w:hAnsi="Arial" w:cs="Arial"/>
          <w:color w:val="000000"/>
        </w:rPr>
        <w:t xml:space="preserve"> náhle a</w:t>
      </w:r>
      <w:r w:rsidR="008D75C1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bez varování. O to složitější pak bývá se z plného zdraví ze dne na den vyrovnat s</w:t>
      </w:r>
      <w:r w:rsidR="00D25AD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nastalou situací zdravotně, ale i finančně.</w:t>
      </w:r>
      <w:r w:rsidR="008B1FAE">
        <w:rPr>
          <w:rFonts w:ascii="Arial" w:hAnsi="Arial" w:cs="Arial"/>
          <w:color w:val="000000"/>
        </w:rPr>
        <w:t xml:space="preserve"> </w:t>
      </w:r>
    </w:p>
    <w:p w14:paraId="7E3743F5" w14:textId="69DBD70A" w:rsidR="00D072B5" w:rsidRDefault="00B2488C" w:rsidP="00972AD3">
      <w:pPr>
        <w:pStyle w:val="Normlnweb"/>
        <w:shd w:val="clear" w:color="auto" w:fill="FFFFFF"/>
        <w:spacing w:beforeAutospacing="0" w:after="225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>„Kolegové z likvidace pojistných událostí před nedávnem řešili případ ani ne čtyřicetileté pacientky, které z neznámého důvodu začaly nečekaně ledviny selhávat</w:t>
      </w:r>
      <w:r w:rsidR="00D25AD0"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D25AD0">
        <w:rPr>
          <w:rFonts w:ascii="Arial" w:hAnsi="Arial" w:cs="Arial"/>
          <w:i/>
          <w:iCs/>
          <w:color w:val="000000"/>
        </w:rPr>
        <w:t>Z toho důvodu</w:t>
      </w:r>
      <w:r>
        <w:rPr>
          <w:rFonts w:ascii="Arial" w:hAnsi="Arial" w:cs="Arial"/>
          <w:i/>
          <w:iCs/>
          <w:color w:val="000000"/>
        </w:rPr>
        <w:t xml:space="preserve"> musela podstupovat pravidelnou dialýzu a následně byla zapsána na čekací listinu pro</w:t>
      </w:r>
      <w:r w:rsidR="008D75C1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transplantaci. Pojistné plnění za diagnózu tohoto závažného onemocnění a pracovní neschopnost s ní spojenou činilo  přes 1 milion korun. Nejdůležitější pro uzdravení každého pacienta je zejména klid a</w:t>
      </w:r>
      <w:r w:rsidR="00BD0516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co</w:t>
      </w:r>
      <w:r w:rsidR="00BD0516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nejméně starostí. Plnění v případě pojistné události pomáhá </w:t>
      </w:r>
      <w:r w:rsidR="008B1FAE"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</w:rPr>
        <w:t xml:space="preserve"> těchto obtížných chvílích alespoň snížit finanční starosti a umožňuje tak plné soustředění na</w:t>
      </w:r>
      <w:r w:rsidR="008D75C1"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 xml:space="preserve">léčbu,“ </w:t>
      </w:r>
      <w:r>
        <w:rPr>
          <w:rFonts w:ascii="Arial" w:hAnsi="Arial" w:cs="Arial"/>
          <w:color w:val="000000"/>
        </w:rPr>
        <w:t>uzavírá Eliška Nechanická Březinová z pojišťovny MetLife.</w:t>
      </w:r>
    </w:p>
    <w:p w14:paraId="29371879" w14:textId="62CC0C22" w:rsidR="00D072B5" w:rsidRDefault="00B2488C" w:rsidP="00972AD3">
      <w:pPr>
        <w:pStyle w:val="Zkladntext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 pravidelnou prevencí se dá životní pojištění u</w:t>
      </w:r>
      <w:r w:rsidR="001F55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F55C8">
        <w:rPr>
          <w:rFonts w:ascii="Arial" w:hAnsi="Arial" w:cs="Arial"/>
          <w:color w:val="000000"/>
          <w:sz w:val="24"/>
          <w:szCs w:val="24"/>
        </w:rPr>
        <w:t>MetLife</w:t>
      </w:r>
      <w:proofErr w:type="spellEnd"/>
      <w:hyperlink r:id="rId12"/>
      <w:r>
        <w:rPr>
          <w:rFonts w:ascii="Arial" w:hAnsi="Arial" w:cs="Arial"/>
          <w:color w:val="000000"/>
          <w:sz w:val="24"/>
          <w:szCs w:val="24"/>
        </w:rPr>
        <w:t xml:space="preserve"> uzavřít výhodněji, včetně pojištění závažných onemocnění, které zahrnuje i choroby ledvin. Ale nejen kvůli pojištění se určitě vyplatí vědět, v jaké kondici jsou naše ledviny, ať už v jejich celosvětový den, nebo kdykoliv jindy po celý rok.</w:t>
      </w:r>
    </w:p>
    <w:p w14:paraId="41B2A735" w14:textId="77777777" w:rsidR="00D072B5" w:rsidRDefault="00D072B5">
      <w:pPr>
        <w:pStyle w:val="Zkladntext"/>
        <w:spacing w:after="0"/>
        <w:rPr>
          <w:rFonts w:ascii="Arial" w:hAnsi="Arial" w:cs="Arial"/>
          <w:sz w:val="24"/>
          <w:szCs w:val="24"/>
        </w:rPr>
      </w:pPr>
    </w:p>
    <w:p w14:paraId="7DC58081" w14:textId="7DB99270" w:rsidR="00D072B5" w:rsidRDefault="00B248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Více informací o pojištění závažných onemocněních, naleznete na webu </w:t>
      </w:r>
      <w:hyperlink r:id="rId13">
        <w:r w:rsidRPr="00972AD3">
          <w:rPr>
            <w:rStyle w:val="Internetovodkaz"/>
            <w:rFonts w:ascii="Arial" w:hAnsi="Arial" w:cs="Arial"/>
            <w:bCs/>
            <w:color w:val="2E74B5" w:themeColor="accent1" w:themeShade="BF"/>
            <w:sz w:val="24"/>
          </w:rPr>
          <w:t>MetLife</w:t>
        </w:r>
      </w:hyperlink>
      <w:r>
        <w:rPr>
          <w:rStyle w:val="Internetovodkaz"/>
          <w:rFonts w:ascii="Arial" w:hAnsi="Arial" w:cs="Arial"/>
          <w:bCs/>
          <w:color w:val="000000" w:themeColor="text1"/>
          <w:sz w:val="24"/>
          <w:u w:val="none"/>
        </w:rPr>
        <w:t xml:space="preserve"> nebo</w:t>
      </w:r>
      <w:r>
        <w:rPr>
          <w:rFonts w:ascii="Arial" w:hAnsi="Arial" w:cs="Arial"/>
          <w:bCs/>
          <w:color w:val="000000" w:themeColor="text1"/>
          <w:sz w:val="24"/>
        </w:rPr>
        <w:t xml:space="preserve"> u</w:t>
      </w:r>
      <w:r w:rsidR="003661FD">
        <w:rPr>
          <w:rFonts w:ascii="Arial" w:hAnsi="Arial" w:cs="Arial"/>
          <w:bCs/>
          <w:color w:val="000000" w:themeColor="text1"/>
          <w:sz w:val="24"/>
        </w:rPr>
        <w:t> </w:t>
      </w:r>
      <w:hyperlink r:id="rId14">
        <w:r w:rsidRPr="00972AD3">
          <w:rPr>
            <w:rStyle w:val="Internetovodkaz"/>
            <w:rFonts w:ascii="Arial" w:hAnsi="Arial" w:cs="Arial"/>
            <w:bCs/>
            <w:color w:val="2E74B5" w:themeColor="accent1" w:themeShade="BF"/>
            <w:sz w:val="24"/>
          </w:rPr>
          <w:t>pojišťovacích zprostředkovatelů</w:t>
        </w:r>
      </w:hyperlink>
      <w:r>
        <w:rPr>
          <w:rFonts w:ascii="Arial" w:hAnsi="Arial" w:cs="Arial"/>
          <w:bCs/>
          <w:color w:val="000000" w:themeColor="text1"/>
          <w:sz w:val="24"/>
        </w:rPr>
        <w:t>.</w:t>
      </w:r>
      <w:bookmarkEnd w:id="0"/>
    </w:p>
    <w:p w14:paraId="1CDFD66B" w14:textId="77777777" w:rsidR="00D072B5" w:rsidRDefault="00D072B5">
      <w:pPr>
        <w:spacing w:after="0"/>
        <w:rPr>
          <w:rFonts w:ascii="Arial" w:hAnsi="Arial" w:cs="Arial"/>
          <w:bCs/>
          <w:sz w:val="24"/>
        </w:rPr>
      </w:pPr>
    </w:p>
    <w:p w14:paraId="52317C98" w14:textId="77777777" w:rsidR="00D072B5" w:rsidRDefault="00B2488C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4F85B620" w14:textId="77777777" w:rsidR="00D072B5" w:rsidRDefault="00D072B5">
      <w:pPr>
        <w:spacing w:after="0" w:line="240" w:lineRule="auto"/>
        <w:rPr>
          <w:rFonts w:ascii="Arial" w:hAnsi="Arial" w:cs="Arial"/>
          <w:sz w:val="20"/>
        </w:rPr>
      </w:pPr>
    </w:p>
    <w:p w14:paraId="57A8BA79" w14:textId="77777777" w:rsidR="00D072B5" w:rsidRDefault="00B2488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7F068D6B" w14:textId="77777777" w:rsidR="00D072B5" w:rsidRDefault="00B2488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396C3D6E" w14:textId="77777777" w:rsidR="00D072B5" w:rsidRDefault="00B2488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87D6CAC" w14:textId="77777777" w:rsidR="00D072B5" w:rsidRDefault="00B2488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4EBEAF71" w14:textId="77777777" w:rsidR="00D072B5" w:rsidRDefault="00B2488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+ 420 731 230 060</w:t>
      </w:r>
    </w:p>
    <w:p w14:paraId="045D5B4B" w14:textId="77777777" w:rsidR="00D072B5" w:rsidRDefault="00B248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0C840C8A" w14:textId="77777777" w:rsidR="00D072B5" w:rsidRDefault="00B2488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5">
        <w:r w:rsidRPr="00972AD3">
          <w:rPr>
            <w:rStyle w:val="Internetovodkaz"/>
            <w:rFonts w:ascii="Arial" w:hAnsi="Arial" w:cs="Arial"/>
            <w:color w:val="2E74B5" w:themeColor="accent1" w:themeShade="BF"/>
            <w:sz w:val="20"/>
          </w:rPr>
          <w:t>veronika.hasova@crestcom.cz</w:t>
        </w:r>
      </w:hyperlink>
    </w:p>
    <w:p w14:paraId="40E1B7C4" w14:textId="77777777" w:rsidR="00D072B5" w:rsidRDefault="00D072B5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2E53A56F" w14:textId="77777777" w:rsidR="00D072B5" w:rsidRDefault="00B2488C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9FE54E3" w14:textId="4BDD51A1" w:rsidR="00972AD3" w:rsidRDefault="00B2488C" w:rsidP="00972AD3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3661FD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6" w:tgtFrame="_blank">
        <w:r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08684047" w14:textId="224FE6EA" w:rsidR="00D072B5" w:rsidRDefault="00972AD3" w:rsidP="00281078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 w:type="column"/>
      </w:r>
      <w:r w:rsidR="00B2488C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MetLife v České republice</w:t>
      </w:r>
    </w:p>
    <w:p w14:paraId="2276ABBA" w14:textId="77777777" w:rsidR="00D072B5" w:rsidRDefault="00B2488C" w:rsidP="00281078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7">
        <w:r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3DA6C06F" w14:textId="77777777" w:rsidR="00D072B5" w:rsidRDefault="00D072B5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41312F33" w14:textId="77777777" w:rsidR="00D072B5" w:rsidRDefault="00D072B5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6EC9F4E" w14:textId="77777777" w:rsidR="00D072B5" w:rsidRDefault="00B2488C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Statistiky byly čerpány z těchto zdrojů:</w:t>
      </w:r>
    </w:p>
    <w:p w14:paraId="0EA83CC5" w14:textId="77777777" w:rsidR="00D072B5" w:rsidRDefault="00D072B5">
      <w:pPr>
        <w:spacing w:after="0"/>
        <w:rPr>
          <w:sz w:val="20"/>
          <w:szCs w:val="20"/>
        </w:rPr>
      </w:pPr>
    </w:p>
    <w:p w14:paraId="67300557" w14:textId="77777777" w:rsidR="00D072B5" w:rsidRPr="00972AD3" w:rsidRDefault="00000000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</w:rPr>
      </w:pPr>
      <w:hyperlink r:id="rId18">
        <w:r w:rsidR="00B2488C"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  <w:shd w:val="clear" w:color="auto" w:fill="FFFFFF"/>
          </w:rPr>
          <w:t>Všeobecná zdravotní pojišťovna – skutečné náklady zdravotní péče</w:t>
        </w:r>
      </w:hyperlink>
    </w:p>
    <w:p w14:paraId="3849C827" w14:textId="77777777" w:rsidR="00D072B5" w:rsidRPr="00972AD3" w:rsidRDefault="00D072B5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01904914" w14:textId="77777777" w:rsidR="00D072B5" w:rsidRPr="00972AD3" w:rsidRDefault="00000000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19">
        <w:r w:rsidR="00B2488C"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Česká nefrologická společnost – Dialyzační statistika</w:t>
        </w:r>
      </w:hyperlink>
    </w:p>
    <w:p w14:paraId="17502DA1" w14:textId="77777777" w:rsidR="00D072B5" w:rsidRPr="00972AD3" w:rsidRDefault="00D072B5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79F33727" w14:textId="77777777" w:rsidR="00D072B5" w:rsidRPr="00972AD3" w:rsidRDefault="00000000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20">
        <w:r w:rsidR="00B2488C"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Česká nadace pro nemoci ledvin – Prevence a časté příznaky onemocnění ledvin</w:t>
        </w:r>
      </w:hyperlink>
    </w:p>
    <w:p w14:paraId="0297CB52" w14:textId="77777777" w:rsidR="00D072B5" w:rsidRPr="00972AD3" w:rsidRDefault="00D072B5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145FB320" w14:textId="77777777" w:rsidR="00D072B5" w:rsidRPr="00972AD3" w:rsidRDefault="00000000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21">
        <w:r w:rsidR="00B2488C"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Nephrocare – Základní informace o ledvinách</w:t>
        </w:r>
      </w:hyperlink>
    </w:p>
    <w:p w14:paraId="36679E28" w14:textId="77777777" w:rsidR="00D072B5" w:rsidRPr="00972AD3" w:rsidRDefault="00D072B5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</w:p>
    <w:p w14:paraId="402B329B" w14:textId="77777777" w:rsidR="00D072B5" w:rsidRPr="00972AD3" w:rsidRDefault="00000000">
      <w:pPr>
        <w:spacing w:after="0"/>
        <w:rPr>
          <w:rFonts w:ascii="Arial" w:hAnsi="Arial" w:cs="Arial"/>
          <w:color w:val="2E74B5" w:themeColor="accent1" w:themeShade="BF"/>
          <w:sz w:val="20"/>
          <w:szCs w:val="20"/>
        </w:rPr>
      </w:pPr>
      <w:hyperlink r:id="rId22">
        <w:r w:rsidR="00B2488C" w:rsidRPr="00972AD3">
          <w:rPr>
            <w:rStyle w:val="Internetovodkaz"/>
            <w:rFonts w:ascii="Arial" w:hAnsi="Arial" w:cs="Arial"/>
            <w:color w:val="2E74B5" w:themeColor="accent1" w:themeShade="BF"/>
            <w:sz w:val="20"/>
            <w:szCs w:val="20"/>
          </w:rPr>
          <w:t>Koordinační středisko transplantací</w:t>
        </w:r>
      </w:hyperlink>
    </w:p>
    <w:p w14:paraId="5441487D" w14:textId="77777777" w:rsidR="00D072B5" w:rsidRPr="00972AD3" w:rsidRDefault="00D072B5">
      <w:pPr>
        <w:shd w:val="clear" w:color="auto" w:fill="FFFFFF"/>
        <w:rPr>
          <w:rFonts w:ascii="Arial" w:hAnsi="Arial" w:cs="Arial"/>
          <w:color w:val="2E74B5" w:themeColor="accent1" w:themeShade="BF"/>
          <w:sz w:val="20"/>
          <w:szCs w:val="20"/>
        </w:rPr>
      </w:pPr>
    </w:p>
    <w:sectPr w:rsidR="00D072B5" w:rsidRPr="00972AD3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B5"/>
    <w:rsid w:val="001217C5"/>
    <w:rsid w:val="00147261"/>
    <w:rsid w:val="001E2CEA"/>
    <w:rsid w:val="001F3A56"/>
    <w:rsid w:val="001F55C8"/>
    <w:rsid w:val="00281078"/>
    <w:rsid w:val="003661FD"/>
    <w:rsid w:val="0055629D"/>
    <w:rsid w:val="005B6CBF"/>
    <w:rsid w:val="007778D5"/>
    <w:rsid w:val="007869DD"/>
    <w:rsid w:val="007C7856"/>
    <w:rsid w:val="008B1FAE"/>
    <w:rsid w:val="008D75C1"/>
    <w:rsid w:val="009564D3"/>
    <w:rsid w:val="00972AD3"/>
    <w:rsid w:val="00982D40"/>
    <w:rsid w:val="00B2488C"/>
    <w:rsid w:val="00B46267"/>
    <w:rsid w:val="00BD0516"/>
    <w:rsid w:val="00CC17D2"/>
    <w:rsid w:val="00CC1808"/>
    <w:rsid w:val="00D072B5"/>
    <w:rsid w:val="00D07962"/>
    <w:rsid w:val="00D25AD0"/>
    <w:rsid w:val="00D25C22"/>
    <w:rsid w:val="00DD4CFC"/>
    <w:rsid w:val="00E04251"/>
    <w:rsid w:val="00E14B00"/>
    <w:rsid w:val="00F7217C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D97D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qFormat/>
    <w:rsid w:val="009D0F8C"/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9D0F8C"/>
    <w:pPr>
      <w:spacing w:after="140"/>
    </w:pPr>
    <w:rPr>
      <w:rFonts w:asciiTheme="minorHAnsi" w:eastAsiaTheme="minorHAnsi" w:hAnsiTheme="minorHAnsi" w:cs="Calibri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8B1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" TargetMode="External"/><Relationship Id="rId18" Type="http://schemas.openxmlformats.org/officeDocument/2006/relationships/hyperlink" Target="https://www.systemshop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ephrocare.cz/pacienti/ledviny-a-onemocneni-ledvin/zakladni-informace-o-ledvinach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z/zivotni-pojisteni/garde-6/" TargetMode="External"/><Relationship Id="rId17" Type="http://schemas.openxmlformats.org/officeDocument/2006/relationships/hyperlink" Target="https://www.metlif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etlife.com/" TargetMode="External"/><Relationship Id="rId20" Type="http://schemas.openxmlformats.org/officeDocument/2006/relationships/hyperlink" Target="https://nadace-ledviny.cz/informacni-brozurky/prevence-a-caste-priznaky-onemocneni-ledvi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life.cz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adace-ledviny.cz/informacni-brozurky/prevence-a-caste-priznaky-onemocneni-ledvin" TargetMode="External"/><Relationship Id="rId19" Type="http://schemas.openxmlformats.org/officeDocument/2006/relationships/hyperlink" Target="https://www.nefrol.cz/odbornici/dialyzacni-statistik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ystemshop.cz/" TargetMode="External"/><Relationship Id="rId14" Type="http://schemas.openxmlformats.org/officeDocument/2006/relationships/hyperlink" Target="https://www.metlife.cz/pro-klienty/kontakt/kontaktni-mista/" TargetMode="External"/><Relationship Id="rId22" Type="http://schemas.openxmlformats.org/officeDocument/2006/relationships/hyperlink" Target="https://kst.cz/wp-content/uploads/2022/01/Transplantacni-aktivita-2021nov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F55D2-80AE-4156-9EED-01C474F7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Dagmar Koutská</cp:lastModifiedBy>
  <cp:revision>2</cp:revision>
  <dcterms:created xsi:type="dcterms:W3CDTF">2023-03-06T10:02:00Z</dcterms:created>
  <dcterms:modified xsi:type="dcterms:W3CDTF">2023-03-06T10:02:00Z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